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D86A6">
      <w:pPr>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202</w:t>
      </w:r>
      <w:r>
        <w:rPr>
          <w:rFonts w:hint="eastAsia" w:ascii="Times New Roman" w:hAnsi="Times New Roman" w:eastAsia="方正小标宋简体" w:cs="Times New Roman"/>
          <w:sz w:val="44"/>
          <w:szCs w:val="44"/>
          <w:lang w:val="en-US" w:eastAsia="zh-CN"/>
        </w:rPr>
        <w:t>5</w:t>
      </w:r>
      <w:r>
        <w:rPr>
          <w:rFonts w:hint="default" w:ascii="Times New Roman" w:hAnsi="Times New Roman" w:eastAsia="方正小标宋简体" w:cs="Times New Roman"/>
          <w:sz w:val="44"/>
          <w:szCs w:val="44"/>
          <w:lang w:val="en-US" w:eastAsia="zh-CN"/>
        </w:rPr>
        <w:t>年养老护理员培训项目实施情况</w:t>
      </w:r>
    </w:p>
    <w:p w14:paraId="34523A8E">
      <w:pPr>
        <w:jc w:val="center"/>
        <w:rPr>
          <w:rFonts w:hint="default" w:ascii="Times New Roman" w:hAnsi="Times New Roman" w:eastAsia="方正小标宋简体" w:cs="Times New Roman"/>
          <w:sz w:val="44"/>
          <w:szCs w:val="44"/>
          <w:lang w:val="en-US" w:eastAsia="zh-CN"/>
        </w:rPr>
      </w:pPr>
    </w:p>
    <w:p w14:paraId="17580A5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依据《山西省民政厅福利彩票公益金使用管理信息公开办法（试行）》（晋民发〔2021〕10号）要求，现对“202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年养老护理员培训项目”实施情况进行公开。</w:t>
      </w:r>
    </w:p>
    <w:p w14:paraId="1C2A4DF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一、项目名称</w:t>
      </w:r>
    </w:p>
    <w:p w14:paraId="5F043B8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年养老护理员培训项目</w:t>
      </w:r>
    </w:p>
    <w:p w14:paraId="4BB4CA8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二、项目主要内容</w:t>
      </w:r>
    </w:p>
    <w:p w14:paraId="567820B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为贯彻落实《山西省人民政府办公厅关于推进养老服务发展的实施意见》（晋政办发〔2020〕32号）文件精神，加强养老服务人才队伍建设，提高养老护理人员素质，提升养老服务水平。202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年民政局养老护理员培训共有三批次、18</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lang w:val="en-US" w:eastAsia="zh-CN"/>
        </w:rPr>
        <w:t>人，培训方式采取全封闭式线下培训，每期培训7天，每天8课时。</w:t>
      </w:r>
    </w:p>
    <w:p w14:paraId="722EBD1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三、项目周期</w:t>
      </w:r>
    </w:p>
    <w:p w14:paraId="36BCCB3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月2</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日至</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月1</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w:t>
      </w:r>
    </w:p>
    <w:p w14:paraId="43EB6DE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四、资金额度</w:t>
      </w:r>
    </w:p>
    <w:p w14:paraId="0473D9E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年初预算25万元，经三方询价，临汾市正元职业培训学校以</w:t>
      </w:r>
      <w:r>
        <w:rPr>
          <w:rFonts w:hint="default" w:ascii="Times New Roman" w:hAnsi="Times New Roman" w:eastAsia="仿宋_GB2312" w:cs="Times New Roman"/>
          <w:sz w:val="32"/>
          <w:szCs w:val="32"/>
        </w:rPr>
        <w:t>249300</w:t>
      </w:r>
      <w:r>
        <w:rPr>
          <w:rFonts w:hint="default" w:ascii="Times New Roman" w:hAnsi="Times New Roman" w:eastAsia="仿宋_GB2312" w:cs="Times New Roman"/>
          <w:sz w:val="32"/>
          <w:szCs w:val="32"/>
          <w:lang w:val="en-US" w:eastAsia="zh-CN"/>
        </w:rPr>
        <w:t>元的价格中标。</w:t>
      </w:r>
    </w:p>
    <w:p w14:paraId="60D60B52">
      <w:pPr>
        <w:ind w:firstLine="640" w:firstLineChars="200"/>
        <w:rPr>
          <w:rFonts w:hint="default" w:ascii="Times New Roman" w:hAnsi="Times New Roman" w:eastAsia="黑体" w:cs="Times New Roman"/>
          <w:bCs/>
          <w:sz w:val="32"/>
          <w:szCs w:val="32"/>
          <w:lang w:eastAsia="zh-CN"/>
        </w:rPr>
      </w:pPr>
      <w:r>
        <w:rPr>
          <w:rFonts w:hint="default" w:ascii="Times New Roman" w:hAnsi="Times New Roman" w:eastAsia="黑体" w:cs="Times New Roman"/>
          <w:bCs/>
          <w:sz w:val="32"/>
          <w:szCs w:val="32"/>
          <w:lang w:eastAsia="zh-CN"/>
        </w:rPr>
        <w:t>五</w:t>
      </w:r>
      <w:r>
        <w:rPr>
          <w:rFonts w:hint="default" w:ascii="Times New Roman" w:hAnsi="Times New Roman" w:eastAsia="黑体" w:cs="Times New Roman"/>
          <w:bCs/>
          <w:sz w:val="32"/>
          <w:szCs w:val="32"/>
        </w:rPr>
        <w:t>、</w:t>
      </w:r>
      <w:r>
        <w:rPr>
          <w:rFonts w:hint="default" w:ascii="Times New Roman" w:hAnsi="Times New Roman" w:eastAsia="黑体" w:cs="Times New Roman"/>
          <w:bCs/>
          <w:sz w:val="32"/>
          <w:szCs w:val="32"/>
          <w:lang w:eastAsia="zh-CN"/>
        </w:rPr>
        <w:t>项目完成情况</w:t>
      </w:r>
    </w:p>
    <w:p w14:paraId="01F4080F">
      <w:pPr>
        <w:ind w:firstLine="640" w:firstLineChars="200"/>
        <w:rPr>
          <w:rFonts w:hint="default" w:ascii="Times New Roman" w:hAnsi="Times New Roman" w:eastAsia="仿宋_GB2312" w:cs="Times New Roman"/>
          <w:bCs/>
          <w:sz w:val="32"/>
          <w:szCs w:val="32"/>
          <w:lang w:eastAsia="zh-CN"/>
        </w:rPr>
      </w:pPr>
      <w:r>
        <w:rPr>
          <w:rFonts w:hint="default" w:ascii="Times New Roman" w:hAnsi="Times New Roman" w:eastAsia="仿宋_GB2312" w:cs="Times New Roman"/>
          <w:bCs/>
          <w:sz w:val="32"/>
          <w:szCs w:val="32"/>
          <w:lang w:eastAsia="zh-CN"/>
        </w:rPr>
        <w:t>培训内容根据人力资源和社会保障部社会保障能力建设中心组织编写的《养老护理员》教材标准制订，按照理论30%，实践70%的要求科学编制教材大纲、教学计划。通过理论教学与实践操作相结合的方式，系统地传授了养老护理的专业知识和技能。</w:t>
      </w:r>
    </w:p>
    <w:p w14:paraId="6EF3274E">
      <w:pPr>
        <w:ind w:firstLine="640" w:firstLineChars="200"/>
        <w:rPr>
          <w:rFonts w:hint="default" w:ascii="Times New Roman" w:hAnsi="Times New Roman" w:eastAsia="仿宋_GB2312" w:cs="Times New Roman"/>
          <w:bCs/>
          <w:sz w:val="32"/>
          <w:szCs w:val="32"/>
          <w:lang w:eastAsia="zh-CN"/>
        </w:rPr>
      </w:pPr>
      <w:r>
        <w:rPr>
          <w:rFonts w:hint="default" w:ascii="Times New Roman" w:hAnsi="Times New Roman" w:eastAsia="仿宋_GB2312" w:cs="Times New Roman"/>
          <w:bCs/>
          <w:sz w:val="32"/>
          <w:szCs w:val="32"/>
          <w:lang w:eastAsia="zh-CN"/>
        </w:rPr>
        <w:t>养老护理员的技能等级考试是对学员的学习成果进行全面评估，采取了理论考试和实践操作相结合的方式</w:t>
      </w:r>
      <w:r>
        <w:rPr>
          <w:rFonts w:hint="eastAsia" w:ascii="Times New Roman" w:hAnsi="Times New Roman" w:eastAsia="仿宋_GB2312" w:cs="Times New Roman"/>
          <w:bCs/>
          <w:sz w:val="32"/>
          <w:szCs w:val="32"/>
          <w:lang w:eastAsia="zh-CN"/>
        </w:rPr>
        <w:t>。</w:t>
      </w:r>
      <w:r>
        <w:rPr>
          <w:rFonts w:hint="default" w:ascii="Times New Roman" w:hAnsi="Times New Roman" w:eastAsia="仿宋_GB2312" w:cs="Times New Roman"/>
          <w:bCs/>
          <w:sz w:val="32"/>
          <w:szCs w:val="32"/>
          <w:lang w:eastAsia="zh-CN"/>
        </w:rPr>
        <w:t>主动接受鉴定中心的监考和考核质量督导巡视。截</w:t>
      </w:r>
      <w:r>
        <w:rPr>
          <w:rFonts w:hint="eastAsia" w:ascii="Times New Roman" w:hAnsi="Times New Roman" w:eastAsia="仿宋_GB2312" w:cs="Times New Roman"/>
          <w:bCs/>
          <w:sz w:val="32"/>
          <w:szCs w:val="32"/>
          <w:lang w:val="en-US" w:eastAsia="zh-CN"/>
        </w:rPr>
        <w:t>至2024年9</w:t>
      </w:r>
      <w:r>
        <w:rPr>
          <w:rFonts w:hint="default" w:ascii="Times New Roman" w:hAnsi="Times New Roman" w:eastAsia="仿宋_GB2312" w:cs="Times New Roman"/>
          <w:bCs/>
          <w:sz w:val="32"/>
          <w:szCs w:val="32"/>
          <w:lang w:eastAsia="zh-CN"/>
        </w:rPr>
        <w:t>月1</w:t>
      </w:r>
      <w:r>
        <w:rPr>
          <w:rFonts w:hint="eastAsia" w:ascii="Times New Roman" w:hAnsi="Times New Roman" w:eastAsia="仿宋_GB2312" w:cs="Times New Roman"/>
          <w:bCs/>
          <w:sz w:val="32"/>
          <w:szCs w:val="32"/>
          <w:lang w:val="en-US" w:eastAsia="zh-CN"/>
        </w:rPr>
        <w:t>1</w:t>
      </w:r>
      <w:r>
        <w:rPr>
          <w:rFonts w:hint="default" w:ascii="Times New Roman" w:hAnsi="Times New Roman" w:eastAsia="仿宋_GB2312" w:cs="Times New Roman"/>
          <w:bCs/>
          <w:sz w:val="32"/>
          <w:szCs w:val="32"/>
          <w:lang w:eastAsia="zh-CN"/>
        </w:rPr>
        <w:t>号第三期培训班结束，结业考核全部通过，结业率达100%；五级通过率90.37%、四级通过率87.5%、三级通过率77.27%。</w:t>
      </w:r>
    </w:p>
    <w:p w14:paraId="72832867">
      <w:pPr>
        <w:ind w:firstLine="640" w:firstLineChars="200"/>
        <w:rPr>
          <w:rFonts w:hint="default" w:ascii="Times New Roman" w:hAnsi="Times New Roman" w:eastAsia="黑体" w:cs="Times New Roman"/>
          <w:bCs/>
          <w:sz w:val="32"/>
          <w:szCs w:val="32"/>
          <w:lang w:eastAsia="zh-CN"/>
        </w:rPr>
      </w:pPr>
      <w:r>
        <w:rPr>
          <w:rFonts w:hint="default" w:ascii="Times New Roman" w:hAnsi="Times New Roman" w:eastAsia="黑体" w:cs="Times New Roman"/>
          <w:bCs/>
          <w:sz w:val="32"/>
          <w:szCs w:val="32"/>
          <w:lang w:eastAsia="zh-CN"/>
        </w:rPr>
        <w:t>六</w:t>
      </w:r>
      <w:r>
        <w:rPr>
          <w:rFonts w:hint="default" w:ascii="Times New Roman" w:hAnsi="Times New Roman" w:eastAsia="黑体" w:cs="Times New Roman"/>
          <w:bCs/>
          <w:sz w:val="32"/>
          <w:szCs w:val="32"/>
        </w:rPr>
        <w:t>、</w:t>
      </w:r>
      <w:r>
        <w:rPr>
          <w:rFonts w:hint="default" w:ascii="Times New Roman" w:hAnsi="Times New Roman" w:eastAsia="黑体" w:cs="Times New Roman"/>
          <w:bCs/>
          <w:sz w:val="32"/>
          <w:szCs w:val="32"/>
          <w:lang w:eastAsia="zh-CN"/>
        </w:rPr>
        <w:t>实际效果</w:t>
      </w:r>
    </w:p>
    <w:p w14:paraId="589483AE">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通过培训，全市养老护理员持证率达到94.4%，养老机构专业化水平得到整体提升。</w:t>
      </w:r>
    </w:p>
    <w:p w14:paraId="35C1894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6693091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2BE6418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1992001A">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0C99A16F">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4D19532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55440392">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1DDA4E45">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3F1C99A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13745BE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08726F0E">
      <w:pPr>
        <w:rPr>
          <w:rFonts w:hint="eastAsia" w:eastAsia="宋体"/>
          <w:lang w:eastAsia="zh-CN"/>
        </w:rPr>
      </w:pPr>
      <w:r>
        <w:rPr>
          <w:rFonts w:hint="eastAsia" w:eastAsia="宋体"/>
          <w:lang w:eastAsia="zh-CN"/>
        </w:rPr>
        <w:drawing>
          <wp:inline distT="0" distB="0" distL="114300" distR="114300">
            <wp:extent cx="5264785" cy="3947160"/>
            <wp:effectExtent l="0" t="0" r="2540" b="5715"/>
            <wp:docPr id="13" name="图片 1" descr="070dd9110bd97de769235f6cef56e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070dd9110bd97de769235f6cef56e566"/>
                    <pic:cNvPicPr>
                      <a:picLocks noChangeAspect="1"/>
                    </pic:cNvPicPr>
                  </pic:nvPicPr>
                  <pic:blipFill>
                    <a:blip r:embed="rId4"/>
                    <a:stretch>
                      <a:fillRect/>
                    </a:stretch>
                  </pic:blipFill>
                  <pic:spPr>
                    <a:xfrm>
                      <a:off x="0" y="0"/>
                      <a:ext cx="5264785" cy="3947160"/>
                    </a:xfrm>
                    <a:prstGeom prst="rect">
                      <a:avLst/>
                    </a:prstGeom>
                    <a:noFill/>
                    <a:ln>
                      <a:noFill/>
                    </a:ln>
                  </pic:spPr>
                </pic:pic>
              </a:graphicData>
            </a:graphic>
          </wp:inline>
        </w:drawing>
      </w:r>
      <w:r>
        <w:rPr>
          <w:rFonts w:hint="eastAsia" w:eastAsia="宋体"/>
          <w:lang w:eastAsia="zh-CN"/>
        </w:rPr>
        <w:drawing>
          <wp:inline distT="0" distB="0" distL="114300" distR="114300">
            <wp:extent cx="5264785" cy="3947160"/>
            <wp:effectExtent l="0" t="0" r="2540" b="5715"/>
            <wp:docPr id="14" name="图片 2" descr="4beb0b6935292d3348e4ff8d45d6d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4beb0b6935292d3348e4ff8d45d6d401"/>
                    <pic:cNvPicPr>
                      <a:picLocks noChangeAspect="1"/>
                    </pic:cNvPicPr>
                  </pic:nvPicPr>
                  <pic:blipFill>
                    <a:blip r:embed="rId5"/>
                    <a:stretch>
                      <a:fillRect/>
                    </a:stretch>
                  </pic:blipFill>
                  <pic:spPr>
                    <a:xfrm>
                      <a:off x="0" y="0"/>
                      <a:ext cx="5264785" cy="3947160"/>
                    </a:xfrm>
                    <a:prstGeom prst="rect">
                      <a:avLst/>
                    </a:prstGeom>
                    <a:noFill/>
                    <a:ln>
                      <a:noFill/>
                    </a:ln>
                  </pic:spPr>
                </pic:pic>
              </a:graphicData>
            </a:graphic>
          </wp:inline>
        </w:drawing>
      </w:r>
      <w:r>
        <w:rPr>
          <w:rFonts w:hint="eastAsia" w:eastAsia="宋体"/>
          <w:lang w:eastAsia="zh-CN"/>
        </w:rPr>
        <w:drawing>
          <wp:inline distT="0" distB="0" distL="114300" distR="114300">
            <wp:extent cx="5264785" cy="3947160"/>
            <wp:effectExtent l="0" t="0" r="2540" b="5715"/>
            <wp:docPr id="15" name="图片 3" descr="170b8202a86135d2fc745763b897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170b8202a86135d2fc745763b8972212"/>
                    <pic:cNvPicPr>
                      <a:picLocks noChangeAspect="1"/>
                    </pic:cNvPicPr>
                  </pic:nvPicPr>
                  <pic:blipFill>
                    <a:blip r:embed="rId6"/>
                    <a:stretch>
                      <a:fillRect/>
                    </a:stretch>
                  </pic:blipFill>
                  <pic:spPr>
                    <a:xfrm>
                      <a:off x="0" y="0"/>
                      <a:ext cx="5264785" cy="3947160"/>
                    </a:xfrm>
                    <a:prstGeom prst="rect">
                      <a:avLst/>
                    </a:prstGeom>
                    <a:noFill/>
                    <a:ln>
                      <a:noFill/>
                    </a:ln>
                  </pic:spPr>
                </pic:pic>
              </a:graphicData>
            </a:graphic>
          </wp:inline>
        </w:drawing>
      </w:r>
      <w:r>
        <w:rPr>
          <w:rFonts w:hint="eastAsia" w:eastAsia="宋体"/>
          <w:lang w:eastAsia="zh-CN"/>
        </w:rPr>
        <w:drawing>
          <wp:inline distT="0" distB="0" distL="114300" distR="114300">
            <wp:extent cx="5264785" cy="3947160"/>
            <wp:effectExtent l="0" t="0" r="2540" b="5715"/>
            <wp:docPr id="16" name="图片 4" descr="990259d989a1fd09ee0f9ba080bbe1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990259d989a1fd09ee0f9ba080bbe1e2"/>
                    <pic:cNvPicPr>
                      <a:picLocks noChangeAspect="1"/>
                    </pic:cNvPicPr>
                  </pic:nvPicPr>
                  <pic:blipFill>
                    <a:blip r:embed="rId7"/>
                    <a:stretch>
                      <a:fillRect/>
                    </a:stretch>
                  </pic:blipFill>
                  <pic:spPr>
                    <a:xfrm>
                      <a:off x="0" y="0"/>
                      <a:ext cx="5264785" cy="3947160"/>
                    </a:xfrm>
                    <a:prstGeom prst="rect">
                      <a:avLst/>
                    </a:prstGeom>
                    <a:noFill/>
                    <a:ln>
                      <a:noFill/>
                    </a:ln>
                  </pic:spPr>
                </pic:pic>
              </a:graphicData>
            </a:graphic>
          </wp:inline>
        </w:drawing>
      </w:r>
      <w:r>
        <w:rPr>
          <w:rFonts w:hint="eastAsia" w:eastAsia="宋体"/>
          <w:lang w:eastAsia="zh-CN"/>
        </w:rPr>
        <w:drawing>
          <wp:inline distT="0" distB="0" distL="114300" distR="114300">
            <wp:extent cx="5264785" cy="3947160"/>
            <wp:effectExtent l="0" t="0" r="2540" b="5715"/>
            <wp:docPr id="17" name="图片 5" descr="067ccfe5c3ffe511b1cfdbb98291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descr="067ccfe5c3ffe511b1cfdbb982917759"/>
                    <pic:cNvPicPr>
                      <a:picLocks noChangeAspect="1"/>
                    </pic:cNvPicPr>
                  </pic:nvPicPr>
                  <pic:blipFill>
                    <a:blip r:embed="rId8"/>
                    <a:stretch>
                      <a:fillRect/>
                    </a:stretch>
                  </pic:blipFill>
                  <pic:spPr>
                    <a:xfrm>
                      <a:off x="0" y="0"/>
                      <a:ext cx="5264785" cy="3947160"/>
                    </a:xfrm>
                    <a:prstGeom prst="rect">
                      <a:avLst/>
                    </a:prstGeom>
                    <a:noFill/>
                    <a:ln>
                      <a:noFill/>
                    </a:ln>
                  </pic:spPr>
                </pic:pic>
              </a:graphicData>
            </a:graphic>
          </wp:inline>
        </w:drawing>
      </w:r>
    </w:p>
    <w:p w14:paraId="3809FB6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bookmarkStart w:id="0" w:name="_GoBack"/>
      <w:bookmarkEnd w:id="0"/>
    </w:p>
    <w:p w14:paraId="0A391F7E">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2A3C2992">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75E3F7F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4964442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43468FC2">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5164F331">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76DF8CD5">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02F0C231">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ascii="Times New Roman" w:hAnsi="Times New Roman" w:eastAsia="仿宋_GB2312" w:cs="Times New Roman"/>
          <w:bCs/>
          <w:sz w:val="32"/>
          <w:szCs w:val="32"/>
          <w:lang w:val="en-US" w:eastAsia="zh-CN"/>
        </w:rPr>
      </w:pPr>
    </w:p>
    <w:p w14:paraId="11339287">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default" w:ascii="Times New Roman" w:hAnsi="Times New Roman" w:eastAsia="仿宋_GB2312" w:cs="Times New Roman"/>
          <w:bCs/>
          <w:sz w:val="32"/>
          <w:szCs w:val="32"/>
          <w:lang w:val="en-US" w:eastAsia="zh-CN"/>
        </w:rPr>
      </w:pPr>
    </w:p>
    <w:sectPr>
      <w:pgSz w:w="11906" w:h="16838"/>
      <w:pgMar w:top="1984" w:right="1701" w:bottom="1417" w:left="1701"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B5237F7-AF1B-4E49-AA57-3CF9908F3D4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F4316F6-CAF1-4717-B155-81E216490DCC}"/>
  </w:font>
  <w:font w:name="方正小标宋简体">
    <w:panose1 w:val="02000000000000000000"/>
    <w:charset w:val="86"/>
    <w:family w:val="auto"/>
    <w:pitch w:val="default"/>
    <w:sig w:usb0="00000001" w:usb1="08000000" w:usb2="00000000" w:usb3="00000000" w:csb0="00040000" w:csb1="00000000"/>
    <w:embedRegular r:id="rId3" w:fontKey="{EEF40FFD-0C69-46A9-9DEE-F11B3C63D913}"/>
  </w:font>
  <w:font w:name="仿宋_GB2312">
    <w:panose1 w:val="02010609030101010101"/>
    <w:charset w:val="86"/>
    <w:family w:val="auto"/>
    <w:pitch w:val="default"/>
    <w:sig w:usb0="00000001" w:usb1="080E0000" w:usb2="00000000" w:usb3="00000000" w:csb0="00040000" w:csb1="00000000"/>
    <w:embedRegular r:id="rId4" w:fontKey="{C6FFDE4D-2ABB-4FFA-96E9-3768146BC16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74541F"/>
    <w:rsid w:val="061D7998"/>
    <w:rsid w:val="0A38475C"/>
    <w:rsid w:val="13EF5C30"/>
    <w:rsid w:val="1B74541F"/>
    <w:rsid w:val="32800D4F"/>
    <w:rsid w:val="3E636D6A"/>
    <w:rsid w:val="4250579A"/>
    <w:rsid w:val="489C3E70"/>
    <w:rsid w:val="6F31548C"/>
    <w:rsid w:val="72FA4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611</Words>
  <Characters>665</Characters>
  <Lines>0</Lines>
  <Paragraphs>0</Paragraphs>
  <TotalTime>0</TotalTime>
  <ScaleCrop>false</ScaleCrop>
  <LinksUpToDate>false</LinksUpToDate>
  <CharactersWithSpaces>665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2025-06-19T02:36:00Z</dcterms:created>
  <dc:creator>路过</dc:creator>
  <cp:lastModifiedBy>路过</cp:lastModifiedBy>
  <dcterms:modified xsi:type="dcterms:W3CDTF">2026-06-26T09:33:27Z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A82B48B389374F4A859DF05B47E1BC13_13</vt:lpwstr>
  </property>
  <property fmtid="{D5CDD505-2E9C-101B-9397-08002B2CF9AE}" pid="4" name="KSOTemplateDocerSaveRecord">
    <vt:lpwstr>eyJoZGlkIjoiMzEwNTM5NzYwMDRjMzkwZTVkZjY2ODkwMGIxNGU0OTUiLCJ1c2VySWQiOiI0NTUyNjE4MjAifQ==</vt:lpwstr>
  </property>
</Properties>
</file>